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AD" w:rsidRPr="003C7CFC" w:rsidRDefault="000C73AD" w:rsidP="000F77DB">
      <w:pPr>
        <w:spacing w:after="0" w:line="240" w:lineRule="auto"/>
        <w:ind w:left="-360" w:right="-450"/>
        <w:jc w:val="right"/>
        <w:rPr>
          <w:rFonts w:ascii="Calibri Light" w:hAnsi="Calibri Light" w:cs="Calibri Light"/>
          <w:sz w:val="20"/>
          <w:szCs w:val="20"/>
        </w:rPr>
      </w:pPr>
    </w:p>
    <w:p w:rsidR="000018DE" w:rsidRDefault="000018DE" w:rsidP="000F77DB">
      <w:pPr>
        <w:spacing w:after="0" w:line="240" w:lineRule="auto"/>
        <w:ind w:left="-360" w:right="-450"/>
        <w:jc w:val="both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1025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705"/>
      </w:tblGrid>
      <w:tr w:rsidR="000018DE" w:rsidTr="000018DE">
        <w:tc>
          <w:tcPr>
            <w:tcW w:w="3235" w:type="dxa"/>
            <w:vAlign w:val="center"/>
          </w:tcPr>
          <w:p w:rsidR="000018DE" w:rsidRDefault="000018DE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365CC487" wp14:editId="1FEC3A7F">
                  <wp:extent cx="2117678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tm-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94" cy="72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327" w:rsidRDefault="004D2327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4D2327" w:rsidRDefault="004D2327" w:rsidP="000018DE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Nota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Note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  <w:p w:rsidR="000018DE" w:rsidRPr="003C7CFC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Pengemaskinian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laporan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hanya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semula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letak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isi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kandungan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dilaporkan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tujuan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pembacaan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lebih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selesa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tersusun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Updating the news report just requires rearranging the layout, not the content of the report, for easier and more </w:t>
            </w:r>
            <w:proofErr w:type="spellStart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>organised</w:t>
            </w:r>
            <w:proofErr w:type="spellEnd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reading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:rsidR="000018DE" w:rsidRDefault="000018DE" w:rsidP="000018DE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0018DE" w:rsidRDefault="000018DE" w:rsidP="000A2B1C">
            <w:pPr>
              <w:ind w:left="72" w:right="72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Dikemaskini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oleh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Edited by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0A2B1C">
              <w:rPr>
                <w:rFonts w:ascii="Calibri Light" w:hAnsi="Calibri Light" w:cs="Calibri Light"/>
                <w:sz w:val="20"/>
                <w:szCs w:val="20"/>
              </w:rPr>
              <w:t>Nurul</w:t>
            </w:r>
            <w:proofErr w:type="spellEnd"/>
            <w:r w:rsidR="000A2B1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0A2B1C">
              <w:rPr>
                <w:rFonts w:ascii="Calibri Light" w:hAnsi="Calibri Light" w:cs="Calibri Light"/>
                <w:sz w:val="20"/>
                <w:szCs w:val="20"/>
              </w:rPr>
              <w:t>Shafika</w:t>
            </w:r>
            <w:proofErr w:type="spellEnd"/>
            <w:r w:rsidR="000A2B1C">
              <w:rPr>
                <w:rFonts w:ascii="Calibri Light" w:hAnsi="Calibri Light" w:cs="Calibri Light"/>
                <w:sz w:val="20"/>
                <w:szCs w:val="20"/>
              </w:rPr>
              <w:t xml:space="preserve"> Hassan</w:t>
            </w:r>
          </w:p>
        </w:tc>
      </w:tr>
    </w:tbl>
    <w:p w:rsidR="00BF63D2" w:rsidRDefault="00BF63D2" w:rsidP="004D2327">
      <w:pPr>
        <w:pBdr>
          <w:bottom w:val="single" w:sz="12" w:space="1" w:color="auto"/>
        </w:pBdr>
        <w:spacing w:after="0" w:line="240" w:lineRule="auto"/>
        <w:ind w:right="-540"/>
        <w:rPr>
          <w:rFonts w:ascii="Calibri Light" w:hAnsi="Calibri Light" w:cs="Calibri Light"/>
          <w:sz w:val="20"/>
          <w:szCs w:val="20"/>
        </w:rPr>
      </w:pPr>
    </w:p>
    <w:p w:rsidR="003C7CFC" w:rsidRDefault="003C7CFC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020"/>
      </w:tblGrid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Judul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Title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0A2B1C" w:rsidRDefault="000A2B1C" w:rsidP="000A2B1C">
            <w:pPr>
              <w:shd w:val="clear" w:color="auto" w:fill="FFFFFF"/>
              <w:spacing w:after="48"/>
              <w:textAlignment w:val="baseline"/>
              <w:outlineLvl w:val="0"/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</w:pP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Jardin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Pharma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dan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UTM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Jalin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Kerjasama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Strategik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Inovasi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dan</w:t>
            </w:r>
            <w:proofErr w:type="spellEnd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A2B1C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Pengkomersilan</w:t>
            </w:r>
            <w:proofErr w:type="spellEnd"/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Sumber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Source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0A2B1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Portal UTM News Hub</w:t>
            </w:r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Tarikh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Date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0A2B1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A2B1C">
              <w:rPr>
                <w:rFonts w:ascii="Calibri Light" w:hAnsi="Calibri Light" w:cs="Calibri Light"/>
                <w:sz w:val="24"/>
                <w:szCs w:val="24"/>
              </w:rPr>
              <w:t>Ogos</w:t>
            </w:r>
            <w:proofErr w:type="spellEnd"/>
            <w:r w:rsidRPr="000A2B1C">
              <w:rPr>
                <w:rFonts w:ascii="Calibri Light" w:hAnsi="Calibri Light" w:cs="Calibri Light"/>
                <w:sz w:val="24"/>
                <w:szCs w:val="24"/>
              </w:rPr>
              <w:t xml:space="preserve"> 24, 2022</w:t>
            </w:r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Laporan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proofErr w:type="spellStart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oleh</w:t>
            </w:r>
            <w:proofErr w:type="spellEnd"/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1901AB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Reported by</w:t>
            </w: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1901AB" w:rsidRDefault="000A2B1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A2B1C">
              <w:rPr>
                <w:rFonts w:ascii="Calibri Light" w:hAnsi="Calibri Light" w:cs="Calibri Light"/>
                <w:sz w:val="24"/>
                <w:szCs w:val="24"/>
              </w:rPr>
              <w:t>Hafizan</w:t>
            </w:r>
            <w:proofErr w:type="spellEnd"/>
            <w:r w:rsidRPr="000A2B1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A2B1C">
              <w:rPr>
                <w:rFonts w:ascii="Calibri Light" w:hAnsi="Calibri Light" w:cs="Calibri Light"/>
                <w:sz w:val="24"/>
                <w:szCs w:val="24"/>
              </w:rPr>
              <w:t>Hamzah</w:t>
            </w:r>
            <w:proofErr w:type="spellEnd"/>
          </w:p>
        </w:tc>
      </w:tr>
      <w:tr w:rsidR="003C7CFC" w:rsidRPr="001901AB" w:rsidTr="002C63E8">
        <w:tc>
          <w:tcPr>
            <w:tcW w:w="3060" w:type="dxa"/>
          </w:tcPr>
          <w:p w:rsidR="003C7CFC" w:rsidRPr="001901AB" w:rsidRDefault="003C7CFC" w:rsidP="000F77DB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901AB">
              <w:rPr>
                <w:rFonts w:ascii="Calibri Light" w:hAnsi="Calibri Light" w:cs="Calibri Light"/>
                <w:b/>
                <w:sz w:val="24"/>
                <w:szCs w:val="24"/>
              </w:rPr>
              <w:t>URL :</w:t>
            </w:r>
          </w:p>
        </w:tc>
        <w:tc>
          <w:tcPr>
            <w:tcW w:w="7020" w:type="dxa"/>
          </w:tcPr>
          <w:p w:rsidR="003C7CFC" w:rsidRPr="001901AB" w:rsidRDefault="000A2B1C" w:rsidP="000F77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2B1C">
              <w:rPr>
                <w:rFonts w:ascii="Calibri Light" w:hAnsi="Calibri Light" w:cs="Calibri Light"/>
                <w:sz w:val="24"/>
                <w:szCs w:val="24"/>
              </w:rPr>
              <w:t>https://news.utm.my/ms/2022/08/jardin-pharma-dan-utm-jalin-kerjasama-strategik-inovasi-dan-pengkomersilan/</w:t>
            </w:r>
          </w:p>
        </w:tc>
      </w:tr>
    </w:tbl>
    <w:p w:rsidR="001901AB" w:rsidRPr="001901AB" w:rsidRDefault="001901AB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0C73AD" w:rsidRPr="001901AB" w:rsidRDefault="00C66CBE" w:rsidP="000F77DB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>Full text 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</w:p>
    <w:p w:rsidR="00C66CBE" w:rsidRDefault="00C66CBE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6456121" cy="1771650"/>
            <wp:effectExtent l="0" t="0" r="1905" b="0"/>
            <wp:docPr id="2" name="Picture 2" descr="https://news.utm.my/wp-content/uploads/2022/08/MoU-Jardin-Pharma-2-copy-2-1024x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.utm.my/wp-content/uploads/2022/08/MoU-Jardin-Pharma-2-copy-2-1024x2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826" cy="17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2B1C" w:rsidRDefault="000A2B1C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F77DB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r w:rsidRPr="000A2B1C">
        <w:rPr>
          <w:rFonts w:ascii="Calibri Light" w:hAnsi="Calibri Light" w:cs="Calibri Light"/>
          <w:b/>
          <w:sz w:val="24"/>
          <w:szCs w:val="24"/>
        </w:rPr>
        <w:t xml:space="preserve">JOHOR BAHRU, 22 </w:t>
      </w:r>
      <w:proofErr w:type="spellStart"/>
      <w:r w:rsidRPr="000A2B1C">
        <w:rPr>
          <w:rFonts w:ascii="Calibri Light" w:hAnsi="Calibri Light" w:cs="Calibri Light"/>
          <w:b/>
          <w:sz w:val="24"/>
          <w:szCs w:val="24"/>
        </w:rPr>
        <w:t>Ogos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Teknologi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Malaysia (UTM)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Jardin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Pharma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Berhad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sebuah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syarikat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farmaseutikal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halal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memilih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rakan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strategik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menandatangani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tiga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iaitu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Memorandum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(Memorandum of Agreement),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Perlesenan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Teknologi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(Technology Licensing Agreement)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Penyerahan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(Assignment Agreement).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Kedua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menandatangani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tiga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membolehkan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kedua-duanya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rakan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kolaborasi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inovasi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pengkomersilan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proofErr w:type="spellStart"/>
      <w:r w:rsidRPr="000A2B1C">
        <w:rPr>
          <w:rFonts w:ascii="Calibri Light" w:hAnsi="Calibri Light" w:cs="Calibri Light"/>
          <w:sz w:val="24"/>
          <w:szCs w:val="24"/>
        </w:rPr>
        <w:t>Majlis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menandatangani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disempurnakan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Naib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UTM, Prof. Datuk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. Dr. Ahmad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Fauzi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Ismail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manakala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Jardin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Pharma pula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diwakili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Ketua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Pegawai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Eksekutifnya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, Dr. Maryam Al-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Batul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Azizuddin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r w:rsidRPr="000A2B1C">
        <w:rPr>
          <w:rFonts w:ascii="Calibri Light" w:hAnsi="Calibri Light" w:cs="Calibri Light"/>
          <w:sz w:val="24"/>
          <w:szCs w:val="24"/>
        </w:rPr>
        <w:lastRenderedPageBreak/>
        <w:t xml:space="preserve">Naib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ucapannya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berkata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kepakaran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pensyarah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digunakan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sepenuhnya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projek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penyelidikan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bertajuk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‘Physicochemical, Biological,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Charasteristic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and Bioavailability Study of Liposomal Turmeric’.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Projek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penyelidikan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menggunakan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kunyit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bahan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asas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alami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kajian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dibiayai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sepenuhnya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Jardin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Pharma, yang mana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kajian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bertujuan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melihat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kestabilan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bahan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aktif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kunyit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ditingkatkan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melalui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kaedah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enkapsulasi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liposom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r w:rsidRPr="000A2B1C"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Jardin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Pharma juga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mengkomersilkan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penyelidikan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iaitu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ubat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batuk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dihasilkan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ekstrak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buah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nanas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didaftarkan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pelesenan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harta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intelek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nama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‘Natural Cough Syrup from Pineapple Fruit Extract incorporated with species and herbs’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membeli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sebuah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lagi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harta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intelek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iaitu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‘A Novel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Polyherbal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Formulation with High Anti-Inflammatory Activity,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katanya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lagi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proofErr w:type="spellStart"/>
      <w:r w:rsidRPr="000A2B1C">
        <w:rPr>
          <w:rFonts w:ascii="Calibri Light" w:hAnsi="Calibri Light" w:cs="Calibri Light"/>
          <w:sz w:val="24"/>
          <w:szCs w:val="24"/>
        </w:rPr>
        <w:t>Kedua-dua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dibangunkan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Dr.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Harisun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Ya’akob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pensyarah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Sekolah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Kejuruteraan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Kimia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Kejuruteraan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Tenaga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Felo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Penyelidik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Institut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Pembangunan Bio-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(IBD).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r w:rsidRPr="000A2B1C"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Melalui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pengkomersilan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harta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intelek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, UTM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bukan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sahaja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berkongsi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penyelidikan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masyarakat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tetapi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menjana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pendapatan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seiring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agenda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memperkasakan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inovasi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penyelidik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UTM.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r w:rsidRPr="000A2B1C"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Majlis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menandatangani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perjanjian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interpretasi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hubungan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baik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antara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diharapkan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manfaat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terutama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aspek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penjanaan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kewangan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penghasilan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inovasi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berkualiti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memiliki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potensi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pasaran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,”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katanya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lagi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.</w:t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proofErr w:type="spellStart"/>
      <w:r w:rsidRPr="000A2B1C">
        <w:rPr>
          <w:rFonts w:ascii="Calibri Light" w:hAnsi="Calibri Light" w:cs="Calibri Light"/>
          <w:sz w:val="24"/>
          <w:szCs w:val="24"/>
        </w:rPr>
        <w:t>Turut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hadir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ke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majlis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berlangsung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Bilik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Mesyuarat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Utama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(BMU)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Pengarah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Pusat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Inovasi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Pengkomersilan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(ICC), Prof.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Madya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Ts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. Dr. Noor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Azurati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Ahmad@Salleh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Pengarah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IBDUTM, Prof. Dr.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Hesham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A. El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Enshasy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Pengurus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Jardin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 Pharma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Bhd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 xml:space="preserve">, Rahman </w:t>
      </w:r>
      <w:proofErr w:type="spellStart"/>
      <w:r w:rsidRPr="000A2B1C">
        <w:rPr>
          <w:rFonts w:ascii="Calibri Light" w:hAnsi="Calibri Light" w:cs="Calibri Light"/>
          <w:sz w:val="24"/>
          <w:szCs w:val="24"/>
        </w:rPr>
        <w:t>Baco</w:t>
      </w:r>
      <w:proofErr w:type="spellEnd"/>
      <w:r w:rsidRPr="000A2B1C">
        <w:rPr>
          <w:rFonts w:ascii="Calibri Light" w:hAnsi="Calibri Light" w:cs="Calibri Light"/>
          <w:sz w:val="24"/>
          <w:szCs w:val="24"/>
        </w:rPr>
        <w:t>.</w:t>
      </w:r>
    </w:p>
    <w:p w:rsid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p w:rsid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48275" cy="2590800"/>
            <wp:effectExtent l="0" t="0" r="9525" b="0"/>
            <wp:docPr id="3" name="Picture 3" descr="https://news.utm.my/wp-content/uploads/2022/08/MoU-Jardin-Pharma-1-copy-2-551x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s.utm.my/wp-content/uploads/2022/08/MoU-Jardin-Pharma-1-copy-2-551x2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B1C" w:rsidRPr="000A2B1C" w:rsidRDefault="000A2B1C" w:rsidP="000A2B1C">
      <w:pPr>
        <w:spacing w:after="0" w:line="240" w:lineRule="auto"/>
        <w:ind w:left="-360" w:right="-540"/>
        <w:rPr>
          <w:rFonts w:ascii="Calibri Light" w:hAnsi="Calibri Light" w:cs="Calibri Light"/>
          <w:i/>
          <w:sz w:val="24"/>
          <w:szCs w:val="24"/>
        </w:rPr>
      </w:pPr>
      <w:r w:rsidRPr="000A2B1C">
        <w:rPr>
          <w:rFonts w:ascii="Calibri Light" w:hAnsi="Calibri Light" w:cs="Calibri Light"/>
          <w:i/>
          <w:sz w:val="24"/>
          <w:szCs w:val="24"/>
        </w:rPr>
        <w:t xml:space="preserve">Dari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kiri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Ketua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Pegawai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Eksekutif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Jardin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Pharma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Berhad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>, Dr. Maryam Al-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Batul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Azizuddin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dan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Naib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Canselor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UTM, Prof. Datuk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Ts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. Dr. Ahmad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Fauzi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Ismail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menunjukkan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dokumen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yang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telah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ditandatangani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oleh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kedua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belah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0A2B1C">
        <w:rPr>
          <w:rFonts w:ascii="Calibri Light" w:hAnsi="Calibri Light" w:cs="Calibri Light"/>
          <w:i/>
          <w:sz w:val="24"/>
          <w:szCs w:val="24"/>
        </w:rPr>
        <w:t>pihak</w:t>
      </w:r>
      <w:proofErr w:type="spellEnd"/>
      <w:r w:rsidRPr="000A2B1C">
        <w:rPr>
          <w:rFonts w:ascii="Calibri Light" w:hAnsi="Calibri Light" w:cs="Calibri Light"/>
          <w:i/>
          <w:sz w:val="24"/>
          <w:szCs w:val="24"/>
        </w:rPr>
        <w:t>.</w:t>
      </w:r>
    </w:p>
    <w:sectPr w:rsidR="000A2B1C" w:rsidRPr="000A2B1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62" w:rsidRDefault="00450962" w:rsidP="000C73AD">
      <w:pPr>
        <w:spacing w:after="0" w:line="240" w:lineRule="auto"/>
      </w:pPr>
      <w:r>
        <w:separator/>
      </w:r>
    </w:p>
  </w:endnote>
  <w:endnote w:type="continuationSeparator" w:id="0">
    <w:p w:rsidR="00450962" w:rsidRDefault="00450962" w:rsidP="000C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94187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 w:cs="Calibri Light"/>
          </w:rPr>
        </w:sdtEndPr>
        <w:sdtContent>
          <w:p w:rsidR="000C73AD" w:rsidRPr="000C73AD" w:rsidRDefault="000C73AD" w:rsidP="000C73AD">
            <w:pPr>
              <w:pStyle w:val="Footer"/>
              <w:jc w:val="right"/>
              <w:rPr>
                <w:rFonts w:ascii="Calibri Light" w:hAnsi="Calibri Light" w:cs="Calibri Light"/>
              </w:rPr>
            </w:pP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PAGE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0A2B1C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0C73AD">
              <w:rPr>
                <w:rFonts w:ascii="Calibri Light" w:hAnsi="Calibri Light" w:cs="Calibri Light"/>
                <w:sz w:val="20"/>
                <w:szCs w:val="20"/>
              </w:rPr>
              <w:t xml:space="preserve"> / 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NUMPAGES 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0A2B1C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3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C73AD" w:rsidRDefault="000C7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62" w:rsidRDefault="00450962" w:rsidP="000C73AD">
      <w:pPr>
        <w:spacing w:after="0" w:line="240" w:lineRule="auto"/>
      </w:pPr>
      <w:r>
        <w:separator/>
      </w:r>
    </w:p>
  </w:footnote>
  <w:footnote w:type="continuationSeparator" w:id="0">
    <w:p w:rsidR="00450962" w:rsidRDefault="00450962" w:rsidP="000C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AD" w:rsidRPr="000C73AD" w:rsidRDefault="000C73AD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sz w:val="20"/>
        <w:szCs w:val="20"/>
      </w:rPr>
    </w:pPr>
    <w:r w:rsidRPr="000C73AD">
      <w:rPr>
        <w:rFonts w:ascii="Calibri Light" w:hAnsi="Calibri Light" w:cs="Calibri Light"/>
        <w:sz w:val="20"/>
        <w:szCs w:val="20"/>
      </w:rPr>
      <w:t xml:space="preserve">DOCUMENT MANAGEMENT SYSTEM | PERPUSTAKAAN UTM </w:t>
    </w:r>
  </w:p>
  <w:p w:rsidR="000C73AD" w:rsidRPr="000C73AD" w:rsidRDefault="000018DE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i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BERITA UTM</w:t>
    </w:r>
    <w:r w:rsidR="000C73AD" w:rsidRPr="000C73AD">
      <w:rPr>
        <w:rFonts w:ascii="Calibri Light" w:hAnsi="Calibri Light" w:cs="Calibri Light"/>
        <w:sz w:val="20"/>
        <w:szCs w:val="20"/>
      </w:rPr>
      <w:t xml:space="preserve"> | </w:t>
    </w:r>
    <w:r>
      <w:rPr>
        <w:rFonts w:ascii="Calibri Light" w:hAnsi="Calibri Light" w:cs="Calibri Light"/>
        <w:i/>
        <w:sz w:val="20"/>
        <w:szCs w:val="20"/>
      </w:rPr>
      <w:t>UTM NEWS</w:t>
    </w:r>
    <w:r w:rsidR="000C73AD" w:rsidRPr="000C73AD">
      <w:rPr>
        <w:rFonts w:ascii="Calibri Light" w:hAnsi="Calibri Light" w:cs="Calibri Light"/>
        <w:i/>
        <w:sz w:val="20"/>
        <w:szCs w:val="20"/>
      </w:rPr>
      <w:t xml:space="preserve"> </w:t>
    </w:r>
  </w:p>
  <w:p w:rsidR="000C73AD" w:rsidRPr="000C73AD" w:rsidRDefault="000C73AD">
    <w:pPr>
      <w:pStyle w:val="Header"/>
      <w:rPr>
        <w:rFonts w:ascii="Garamond" w:hAnsi="Garamond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D"/>
    <w:rsid w:val="000018DE"/>
    <w:rsid w:val="000248AA"/>
    <w:rsid w:val="000A2B1C"/>
    <w:rsid w:val="000C73AD"/>
    <w:rsid w:val="000F77DB"/>
    <w:rsid w:val="00172BA9"/>
    <w:rsid w:val="001901AB"/>
    <w:rsid w:val="001C301B"/>
    <w:rsid w:val="001F7A4A"/>
    <w:rsid w:val="003A041C"/>
    <w:rsid w:val="003C7CFC"/>
    <w:rsid w:val="00450962"/>
    <w:rsid w:val="004D2327"/>
    <w:rsid w:val="00522930"/>
    <w:rsid w:val="005D4D00"/>
    <w:rsid w:val="00A76152"/>
    <w:rsid w:val="00A9564D"/>
    <w:rsid w:val="00BC243D"/>
    <w:rsid w:val="00BF63D2"/>
    <w:rsid w:val="00C66CBE"/>
    <w:rsid w:val="00C832F2"/>
    <w:rsid w:val="00CC646A"/>
    <w:rsid w:val="00D32F3A"/>
    <w:rsid w:val="00DD2134"/>
    <w:rsid w:val="00EF79CA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F9CB7-CCA6-47DA-BEE0-48CBE1D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2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AD"/>
  </w:style>
  <w:style w:type="paragraph" w:styleId="Footer">
    <w:name w:val="footer"/>
    <w:basedOn w:val="Normal"/>
    <w:link w:val="Foot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AD"/>
  </w:style>
  <w:style w:type="table" w:styleId="TableGrid">
    <w:name w:val="Table Grid"/>
    <w:basedOn w:val="TableNormal"/>
    <w:uiPriority w:val="39"/>
    <w:rsid w:val="000C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901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2B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2022-09-19T00:37:00Z</dcterms:created>
  <dcterms:modified xsi:type="dcterms:W3CDTF">2022-09-19T00:42:00Z</dcterms:modified>
</cp:coreProperties>
</file>